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42B1C" w14:textId="073B8D78" w:rsidR="00FB4774" w:rsidRDefault="00240B20" w:rsidP="00E971B5">
      <w:pPr>
        <w:jc w:val="center"/>
      </w:pPr>
      <w:r>
        <w:t>Algemene voorwaarden voor dienstverlening AKDP advocaten</w:t>
      </w:r>
    </w:p>
    <w:p w14:paraId="2C4B243D" w14:textId="59BA0A5B" w:rsidR="00240B20" w:rsidRDefault="00240B20"/>
    <w:p w14:paraId="7F1D2EAB" w14:textId="77777777" w:rsidR="00B3447B" w:rsidRPr="00B3447B" w:rsidRDefault="00B3447B" w:rsidP="00B3447B">
      <w:pPr>
        <w:rPr>
          <w:b/>
          <w:bCs/>
        </w:rPr>
      </w:pPr>
      <w:r>
        <w:t>I</w:t>
      </w:r>
      <w:r>
        <w:tab/>
      </w:r>
      <w:r w:rsidRPr="00B3447B">
        <w:rPr>
          <w:b/>
          <w:bCs/>
        </w:rPr>
        <w:t>Definities:</w:t>
      </w:r>
    </w:p>
    <w:p w14:paraId="3102958B" w14:textId="21D2E22D" w:rsidR="00240B20" w:rsidRDefault="00240B20">
      <w:r>
        <w:t xml:space="preserve">In deze Algemene </w:t>
      </w:r>
      <w:r w:rsidR="0097475B">
        <w:t>Voorwaarden</w:t>
      </w:r>
      <w:r>
        <w:t xml:space="preserve"> wordt ve</w:t>
      </w:r>
      <w:r w:rsidR="00270674">
        <w:t>rstaan onder:</w:t>
      </w:r>
    </w:p>
    <w:p w14:paraId="140999CD" w14:textId="0FD48E94" w:rsidR="00270674" w:rsidRDefault="00270674" w:rsidP="00270674">
      <w:pPr>
        <w:pStyle w:val="Lijstalinea"/>
        <w:numPr>
          <w:ilvl w:val="0"/>
          <w:numId w:val="1"/>
        </w:numPr>
      </w:pPr>
      <w:r>
        <w:t xml:space="preserve">AKDP advocaten: de naam van het samenwerkingsverband in de zin van de </w:t>
      </w:r>
      <w:r w:rsidR="00AB7374">
        <w:t>“</w:t>
      </w:r>
      <w:r>
        <w:t>Samenwerkingsverordening 1993</w:t>
      </w:r>
      <w:r w:rsidR="00AB7374">
        <w:t>”</w:t>
      </w:r>
      <w:r>
        <w:t xml:space="preserve"> van verschillende individuele en zelfstandig </w:t>
      </w:r>
      <w:r w:rsidR="00B04F47">
        <w:t>opererende</w:t>
      </w:r>
      <w:r>
        <w:t xml:space="preserve"> advocaten die </w:t>
      </w:r>
      <w:r w:rsidR="002C325D">
        <w:t>ieder</w:t>
      </w:r>
      <w:r>
        <w:t xml:space="preserve"> vanuit een eigen onderneming voo</w:t>
      </w:r>
      <w:r w:rsidR="009C2C22">
        <w:t>r</w:t>
      </w:r>
      <w:r>
        <w:t xml:space="preserve"> eigen rekening en risico de advocatenpraktijk uitoefenen</w:t>
      </w:r>
      <w:r w:rsidR="009D0B33">
        <w:t>.</w:t>
      </w:r>
    </w:p>
    <w:p w14:paraId="756CBB3E" w14:textId="77777777" w:rsidR="00221A16" w:rsidRDefault="00221A16" w:rsidP="00221A16">
      <w:pPr>
        <w:pStyle w:val="Lijstalinea"/>
      </w:pPr>
    </w:p>
    <w:p w14:paraId="54E935A6" w14:textId="0B86C574" w:rsidR="00270674" w:rsidRDefault="00270674" w:rsidP="00270674">
      <w:pPr>
        <w:pStyle w:val="Lijstalinea"/>
        <w:numPr>
          <w:ilvl w:val="0"/>
          <w:numId w:val="1"/>
        </w:numPr>
      </w:pPr>
      <w:r>
        <w:t>AKDP advocaten Ondernemers: Naar een van de AKDP advocaten ondernemers wordt verwezen als AKDP advoca</w:t>
      </w:r>
      <w:r w:rsidR="00180EF7">
        <w:t>at</w:t>
      </w:r>
      <w:r>
        <w:t>.</w:t>
      </w:r>
    </w:p>
    <w:p w14:paraId="615D65A1" w14:textId="77777777" w:rsidR="00221A16" w:rsidRDefault="00221A16" w:rsidP="00221A16">
      <w:pPr>
        <w:pStyle w:val="Lijstalinea"/>
      </w:pPr>
    </w:p>
    <w:p w14:paraId="0508F333" w14:textId="08358ADE" w:rsidR="00270674" w:rsidRDefault="003C2C32" w:rsidP="00270674">
      <w:pPr>
        <w:pStyle w:val="Lijstalinea"/>
        <w:numPr>
          <w:ilvl w:val="0"/>
          <w:numId w:val="1"/>
        </w:numPr>
      </w:pPr>
      <w:r>
        <w:t>Cliënt</w:t>
      </w:r>
      <w:r w:rsidR="00270674">
        <w:t xml:space="preserve">: de contractspartij van een AKDP advocaat </w:t>
      </w:r>
      <w:r w:rsidR="00B3447B">
        <w:t>ondernemer</w:t>
      </w:r>
      <w:r w:rsidR="00270674">
        <w:t>.</w:t>
      </w:r>
    </w:p>
    <w:p w14:paraId="36867BCF" w14:textId="77777777" w:rsidR="00221A16" w:rsidRDefault="00221A16" w:rsidP="00221A16">
      <w:pPr>
        <w:pStyle w:val="Lijstalinea"/>
      </w:pPr>
    </w:p>
    <w:p w14:paraId="7BA12DDE" w14:textId="3DC4E0AF" w:rsidR="00270674" w:rsidRDefault="00A93520" w:rsidP="00270674">
      <w:pPr>
        <w:pStyle w:val="Lijstalinea"/>
        <w:numPr>
          <w:ilvl w:val="0"/>
          <w:numId w:val="1"/>
        </w:numPr>
      </w:pPr>
      <w:r>
        <w:t>Honorarium: de financiële vergoeding (tijdsevenredig of anderszins) exclusief verschotten en kantoorkosten als d</w:t>
      </w:r>
      <w:r w:rsidR="0097475B">
        <w:t>oor</w:t>
      </w:r>
      <w:r>
        <w:t xml:space="preserve"> een AKDP </w:t>
      </w:r>
      <w:r w:rsidR="0097475B">
        <w:t>advocaat voor</w:t>
      </w:r>
      <w:r w:rsidR="00B3447B">
        <w:t xml:space="preserve"> uitvoering van de opdracht met </w:t>
      </w:r>
      <w:r w:rsidR="003C2C32">
        <w:t>cliënt</w:t>
      </w:r>
      <w:r w:rsidR="00B3447B">
        <w:t xml:space="preserve"> is overeengekomen.</w:t>
      </w:r>
    </w:p>
    <w:p w14:paraId="0E909888" w14:textId="77777777" w:rsidR="00221A16" w:rsidRDefault="00221A16" w:rsidP="00221A16">
      <w:pPr>
        <w:pStyle w:val="Lijstalinea"/>
      </w:pPr>
    </w:p>
    <w:p w14:paraId="05C2E539" w14:textId="444B04A6" w:rsidR="00B3447B" w:rsidRDefault="00B3447B" w:rsidP="00B3447B">
      <w:r>
        <w:t>II.</w:t>
      </w:r>
      <w:r>
        <w:tab/>
      </w:r>
      <w:r w:rsidRPr="00B3447B">
        <w:rPr>
          <w:b/>
          <w:bCs/>
        </w:rPr>
        <w:t>AKDP Advocaten ondernemers</w:t>
      </w:r>
    </w:p>
    <w:p w14:paraId="231DDD61" w14:textId="01A3B395" w:rsidR="00B3447B" w:rsidRDefault="00B3447B" w:rsidP="00B3447B">
      <w:pPr>
        <w:pStyle w:val="Lijstalinea"/>
        <w:numPr>
          <w:ilvl w:val="0"/>
          <w:numId w:val="2"/>
        </w:numPr>
      </w:pPr>
      <w:r>
        <w:t>De AKDP advocaten bedrijven elk voor eigen rekening en risico de advocaten praktijk onder de naam  AKDP advocaten.</w:t>
      </w:r>
    </w:p>
    <w:p w14:paraId="57D1C615" w14:textId="77777777" w:rsidR="00221A16" w:rsidRDefault="00221A16" w:rsidP="00221A16">
      <w:pPr>
        <w:pStyle w:val="Lijstalinea"/>
      </w:pPr>
    </w:p>
    <w:p w14:paraId="002CF92E" w14:textId="07989386" w:rsidR="00B3447B" w:rsidRDefault="00B3447B" w:rsidP="00B3447B">
      <w:pPr>
        <w:pStyle w:val="Lijstalinea"/>
        <w:numPr>
          <w:ilvl w:val="0"/>
          <w:numId w:val="2"/>
        </w:numPr>
      </w:pPr>
      <w:r>
        <w:t xml:space="preserve">De </w:t>
      </w:r>
      <w:r w:rsidR="003C2C32">
        <w:t>Cliënt</w:t>
      </w:r>
      <w:r>
        <w:t xml:space="preserve"> gaat altijd als wederpartij een overeenkomst aan met </w:t>
      </w:r>
      <w:r w:rsidR="00F054F0">
        <w:t xml:space="preserve">een </w:t>
      </w:r>
      <w:r>
        <w:t>AKDP advoca</w:t>
      </w:r>
      <w:r w:rsidR="00F054F0">
        <w:t>at</w:t>
      </w:r>
      <w:r>
        <w:t>.</w:t>
      </w:r>
    </w:p>
    <w:p w14:paraId="5FDB4189" w14:textId="77777777" w:rsidR="00221A16" w:rsidRDefault="00221A16" w:rsidP="00221A16">
      <w:pPr>
        <w:pStyle w:val="Lijstalinea"/>
      </w:pPr>
    </w:p>
    <w:p w14:paraId="5D483292" w14:textId="78EFA5BD" w:rsidR="00B3447B" w:rsidRDefault="00B3447B" w:rsidP="00B3447B">
      <w:r>
        <w:t>III.</w:t>
      </w:r>
      <w:r w:rsidR="0097475B">
        <w:tab/>
      </w:r>
      <w:r w:rsidR="0097475B" w:rsidRPr="0097475B">
        <w:rPr>
          <w:b/>
          <w:bCs/>
        </w:rPr>
        <w:t>Toepasselijkheid</w:t>
      </w:r>
    </w:p>
    <w:p w14:paraId="1CB62AFD" w14:textId="47EF6A7A" w:rsidR="0097475B" w:rsidRDefault="0097475B" w:rsidP="0097475B">
      <w:pPr>
        <w:pStyle w:val="Lijstalinea"/>
        <w:numPr>
          <w:ilvl w:val="0"/>
          <w:numId w:val="3"/>
        </w:numPr>
      </w:pPr>
      <w:r>
        <w:t xml:space="preserve">Deze algemene voorwaarden zijn van toepassing op alle opdrachten, die aan een AKDP advocaten ondernemer wordt verstrekt </w:t>
      </w:r>
      <w:r w:rsidR="00406EAD">
        <w:t>opdrachten of vervolgopdrachten alsook op de rechtshandelingen die daarmee verband houden, tenzij voorafgaand aan de totstandkoming van een opdracht schriftelijk anders is overeengekomen.</w:t>
      </w:r>
    </w:p>
    <w:p w14:paraId="7A262686" w14:textId="77777777" w:rsidR="00221A16" w:rsidRDefault="00221A16" w:rsidP="00221A16">
      <w:pPr>
        <w:pStyle w:val="Lijstalinea"/>
      </w:pPr>
    </w:p>
    <w:p w14:paraId="46D49BEB" w14:textId="7F7DA21F" w:rsidR="00406EAD" w:rsidRDefault="00406EAD" w:rsidP="0097475B">
      <w:pPr>
        <w:pStyle w:val="Lijstalinea"/>
        <w:numPr>
          <w:ilvl w:val="0"/>
          <w:numId w:val="3"/>
        </w:numPr>
      </w:pPr>
      <w:r>
        <w:t xml:space="preserve">Deze Algemene voorwaarden zijn </w:t>
      </w:r>
      <w:r w:rsidR="002C325D">
        <w:t>bedongen mede</w:t>
      </w:r>
      <w:r>
        <w:t xml:space="preserve"> ten </w:t>
      </w:r>
      <w:r w:rsidR="002C325D">
        <w:t>behoeve</w:t>
      </w:r>
      <w:r>
        <w:t xml:space="preserve"> van (rechts)personen die direct of indirect</w:t>
      </w:r>
      <w:r w:rsidR="00376630">
        <w:t xml:space="preserve"> op enigerlei  wijze betrokken zijn bij werkzaamheden in verband met de aan een AKDP </w:t>
      </w:r>
      <w:r w:rsidR="00246E1D">
        <w:t>advocaat</w:t>
      </w:r>
      <w:r w:rsidR="00376630">
        <w:t xml:space="preserve"> </w:t>
      </w:r>
      <w:r w:rsidR="00246E1D">
        <w:t>gegeven</w:t>
      </w:r>
      <w:r w:rsidR="00376630">
        <w:t xml:space="preserve"> opdracht, respectievelijk voor wier handelen of nalaten een AKDP advocaat aansprakelijk zou kunnen zijn.</w:t>
      </w:r>
    </w:p>
    <w:p w14:paraId="4B77867C" w14:textId="77777777" w:rsidR="00221A16" w:rsidRDefault="00221A16" w:rsidP="00221A16">
      <w:pPr>
        <w:pStyle w:val="Lijstalinea"/>
      </w:pPr>
    </w:p>
    <w:p w14:paraId="38DBC104" w14:textId="08F9AAAA" w:rsidR="00376630" w:rsidRPr="003D00E5" w:rsidRDefault="00376630" w:rsidP="00376630">
      <w:pPr>
        <w:rPr>
          <w:b/>
          <w:bCs/>
        </w:rPr>
      </w:pPr>
      <w:r>
        <w:t xml:space="preserve">IV. </w:t>
      </w:r>
      <w:r>
        <w:tab/>
      </w:r>
      <w:r w:rsidRPr="003D00E5">
        <w:rPr>
          <w:b/>
          <w:bCs/>
        </w:rPr>
        <w:t>Opdracht</w:t>
      </w:r>
    </w:p>
    <w:p w14:paraId="292B9B83" w14:textId="1BAD66D4" w:rsidR="00376630" w:rsidRDefault="00376630" w:rsidP="00376630">
      <w:pPr>
        <w:pStyle w:val="Lijstalinea"/>
        <w:numPr>
          <w:ilvl w:val="0"/>
          <w:numId w:val="4"/>
        </w:numPr>
      </w:pPr>
      <w:r>
        <w:t xml:space="preserve">Alle opdrachten worden verstrekt aan, en worden aanvaard door de AKDP advocaat die de opdracht van de </w:t>
      </w:r>
      <w:r w:rsidR="003C2C32">
        <w:t>cliënt</w:t>
      </w:r>
      <w:r>
        <w:t xml:space="preserve"> voor eigen rekening en </w:t>
      </w:r>
      <w:r w:rsidR="00246E1D">
        <w:t>risico</w:t>
      </w:r>
      <w:r>
        <w:t xml:space="preserve"> heeft aanvaard.</w:t>
      </w:r>
    </w:p>
    <w:p w14:paraId="1ADEC92E" w14:textId="77777777" w:rsidR="00221A16" w:rsidRDefault="00221A16" w:rsidP="00221A16">
      <w:pPr>
        <w:pStyle w:val="Lijstalinea"/>
      </w:pPr>
    </w:p>
    <w:p w14:paraId="55F69E8C" w14:textId="61D0E450" w:rsidR="00376630" w:rsidRDefault="00376630" w:rsidP="00376630">
      <w:pPr>
        <w:pStyle w:val="Lijstalinea"/>
        <w:numPr>
          <w:ilvl w:val="0"/>
          <w:numId w:val="4"/>
        </w:numPr>
      </w:pPr>
      <w:r>
        <w:t xml:space="preserve">Een opdracht komt </w:t>
      </w:r>
      <w:r w:rsidR="00221A16">
        <w:t>eerst</w:t>
      </w:r>
      <w:r>
        <w:t xml:space="preserve"> tot stand</w:t>
      </w:r>
      <w:r w:rsidR="006447EA">
        <w:t>, nadat deze door de individuele AKDP advocaat is aanvaard.</w:t>
      </w:r>
    </w:p>
    <w:p w14:paraId="4F816E86" w14:textId="220D7879" w:rsidR="006447EA" w:rsidRDefault="003C2C32" w:rsidP="00376630">
      <w:pPr>
        <w:pStyle w:val="Lijstalinea"/>
        <w:numPr>
          <w:ilvl w:val="0"/>
          <w:numId w:val="4"/>
        </w:numPr>
      </w:pPr>
      <w:r>
        <w:lastRenderedPageBreak/>
        <w:t>Cliënt</w:t>
      </w:r>
      <w:r w:rsidR="006447EA">
        <w:t xml:space="preserve"> stemt er mee in dat AKDP advocaten</w:t>
      </w:r>
      <w:r w:rsidR="00246E1D">
        <w:t xml:space="preserve"> </w:t>
      </w:r>
      <w:r w:rsidR="006447EA">
        <w:t>de opdracht onder zijn of haar verantwoordelijkheid zo nodig laat uitvoeren door derden, zoals een ander</w:t>
      </w:r>
      <w:r w:rsidR="003E4144">
        <w:t>e</w:t>
      </w:r>
      <w:r w:rsidR="006447EA">
        <w:t xml:space="preserve"> AKDP advocaat, in geval van </w:t>
      </w:r>
      <w:r w:rsidR="00246E1D">
        <w:t>bijvoorbeeld</w:t>
      </w:r>
      <w:r w:rsidR="006447EA">
        <w:t xml:space="preserve"> afwezigheid vanwege ziekte of vakantie.</w:t>
      </w:r>
    </w:p>
    <w:p w14:paraId="658B9B2A" w14:textId="77777777" w:rsidR="00221A16" w:rsidRDefault="00221A16" w:rsidP="00221A16">
      <w:pPr>
        <w:pStyle w:val="Lijstalinea"/>
      </w:pPr>
    </w:p>
    <w:p w14:paraId="6B9C2C72" w14:textId="79D386C1" w:rsidR="006447EA" w:rsidRDefault="006447EA" w:rsidP="00376630">
      <w:pPr>
        <w:pStyle w:val="Lijstalinea"/>
        <w:numPr>
          <w:ilvl w:val="0"/>
          <w:numId w:val="4"/>
        </w:numPr>
      </w:pPr>
      <w:r>
        <w:t xml:space="preserve">De uitvoering van de verstrekte opdracht geschiedt uitsluitend ten behoeve van de client. Derden kunnen aan de opdracht of </w:t>
      </w:r>
      <w:r w:rsidR="002A1AE1">
        <w:t>verrichtte</w:t>
      </w:r>
      <w:r>
        <w:t xml:space="preserve"> werkzaamheden geen rechten ontlenen, behalve voor</w:t>
      </w:r>
      <w:r w:rsidR="002A1AE1">
        <w:t xml:space="preserve"> </w:t>
      </w:r>
      <w:r>
        <w:t>zover volgt uit II sub b.</w:t>
      </w:r>
    </w:p>
    <w:p w14:paraId="6A7449AF" w14:textId="77777777" w:rsidR="00097BB4" w:rsidRDefault="00097BB4" w:rsidP="00097BB4">
      <w:pPr>
        <w:pStyle w:val="Lijstalinea"/>
      </w:pPr>
    </w:p>
    <w:p w14:paraId="343AFF39" w14:textId="5F5A691B" w:rsidR="00097BB4" w:rsidRPr="003D00E5" w:rsidRDefault="006447EA" w:rsidP="006447EA">
      <w:pPr>
        <w:rPr>
          <w:b/>
          <w:bCs/>
        </w:rPr>
      </w:pPr>
      <w:r>
        <w:t xml:space="preserve">V. </w:t>
      </w:r>
      <w:r w:rsidR="00097BB4">
        <w:tab/>
      </w:r>
      <w:r w:rsidR="00097BB4" w:rsidRPr="003D00E5">
        <w:rPr>
          <w:b/>
          <w:bCs/>
        </w:rPr>
        <w:t>Declaratie</w:t>
      </w:r>
    </w:p>
    <w:p w14:paraId="150440A7" w14:textId="77777777" w:rsidR="00097BB4" w:rsidRDefault="00097BB4" w:rsidP="00E971B5">
      <w:pPr>
        <w:ind w:left="705" w:hanging="705"/>
      </w:pPr>
      <w:r>
        <w:t xml:space="preserve">a. </w:t>
      </w:r>
      <w:r>
        <w:tab/>
        <w:t>Voor de uitvoering van een opdracht is client het honorarium vermeerderd met verschotten, kantoorkosten en omzet5belasting verschuldigd.</w:t>
      </w:r>
    </w:p>
    <w:p w14:paraId="5D313C7B" w14:textId="77777777" w:rsidR="00DE2131" w:rsidRDefault="00097BB4" w:rsidP="00DE2131">
      <w:pPr>
        <w:ind w:left="705" w:hanging="705"/>
      </w:pPr>
      <w:r>
        <w:t xml:space="preserve">b. </w:t>
      </w:r>
      <w:r w:rsidR="00E971B5">
        <w:tab/>
      </w:r>
      <w:r>
        <w:t xml:space="preserve">Verrichte werkzaamheden kunnen, indien de uitvoering van de opdracht zich </w:t>
      </w:r>
      <w:r w:rsidR="00EB3446">
        <w:t>uitstrekt</w:t>
      </w:r>
      <w:r>
        <w:t xml:space="preserve"> </w:t>
      </w:r>
      <w:r w:rsidR="00EB3446">
        <w:t xml:space="preserve"> over een langere periode dan een maand, tussentijds in rekening worden gebracht.</w:t>
      </w:r>
    </w:p>
    <w:p w14:paraId="7FE4A55C" w14:textId="15455372" w:rsidR="005D7329" w:rsidRDefault="00DE2131" w:rsidP="00DE2131">
      <w:pPr>
        <w:ind w:left="705" w:hanging="705"/>
      </w:pPr>
      <w:r>
        <w:t>c.</w:t>
      </w:r>
      <w:r>
        <w:tab/>
      </w:r>
      <w:r w:rsidR="00EB3446">
        <w:t>De AKDP advocaat is steeds gerechtigd van Cliënt de betaling van een voorschot te verlangen. Een ontvangen voorschot wordt verrekend met de eindafrekening van de opdracht.</w:t>
      </w:r>
    </w:p>
    <w:p w14:paraId="4320E780" w14:textId="4B832D5F" w:rsidR="00EB3446" w:rsidRDefault="005D7329" w:rsidP="005D7329">
      <w:pPr>
        <w:ind w:left="705" w:hanging="705"/>
      </w:pPr>
      <w:r>
        <w:t>d.</w:t>
      </w:r>
      <w:r>
        <w:tab/>
      </w:r>
      <w:r w:rsidR="00EB3446">
        <w:t xml:space="preserve">Verschotten zijn de kosten die de </w:t>
      </w:r>
      <w:r w:rsidR="002A1AE1">
        <w:t>AKDP</w:t>
      </w:r>
      <w:r>
        <w:t xml:space="preserve"> advocaat</w:t>
      </w:r>
      <w:r w:rsidR="00EB3446">
        <w:t xml:space="preserve"> specifiek ten behoeve van de Cliënt voldoet (zoals griffierecht en kosten ter zake van bijvoorbeeld deurwaarders, koeriersdiensten en het handelsregister).</w:t>
      </w:r>
    </w:p>
    <w:p w14:paraId="02706670" w14:textId="2D1690C2" w:rsidR="00662399" w:rsidRDefault="00662399" w:rsidP="005D7329">
      <w:pPr>
        <w:ind w:left="705" w:hanging="705"/>
      </w:pPr>
    </w:p>
    <w:p w14:paraId="55BC338D" w14:textId="126953EB" w:rsidR="00662399" w:rsidRPr="003D00E5" w:rsidRDefault="00662399" w:rsidP="005D7329">
      <w:pPr>
        <w:ind w:left="705" w:hanging="705"/>
        <w:rPr>
          <w:b/>
          <w:bCs/>
        </w:rPr>
      </w:pPr>
      <w:r>
        <w:t>V</w:t>
      </w:r>
      <w:r w:rsidR="00C741C1">
        <w:t>I</w:t>
      </w:r>
      <w:r w:rsidR="00C741C1">
        <w:tab/>
      </w:r>
      <w:r w:rsidR="00C741C1" w:rsidRPr="003D00E5">
        <w:rPr>
          <w:b/>
          <w:bCs/>
        </w:rPr>
        <w:t>Betaling</w:t>
      </w:r>
    </w:p>
    <w:p w14:paraId="1CA02120" w14:textId="77777777" w:rsidR="00EE6E5F" w:rsidRDefault="002D4800" w:rsidP="00C741C1">
      <w:pPr>
        <w:pStyle w:val="Lijstalinea"/>
        <w:numPr>
          <w:ilvl w:val="0"/>
          <w:numId w:val="5"/>
        </w:numPr>
      </w:pPr>
      <w:r>
        <w:t>Tenzij uitdrukkelijk schriftelijk anders is overeengekomen</w:t>
      </w:r>
      <w:r w:rsidR="00EE6E5F">
        <w:t>, dient de b</w:t>
      </w:r>
      <w:r w:rsidR="00C741C1">
        <w:t>etaling van declaraties van de A</w:t>
      </w:r>
      <w:r>
        <w:t>KDP advocaat</w:t>
      </w:r>
      <w:r w:rsidR="00EE6E5F">
        <w:t xml:space="preserve"> </w:t>
      </w:r>
      <w:r w:rsidR="00C741C1">
        <w:t>te geschieden binnen 14 dagen na factuurdatum. Bij overschrijding van de</w:t>
      </w:r>
      <w:r w:rsidR="00EE6E5F">
        <w:t xml:space="preserve"> betalings</w:t>
      </w:r>
      <w:r w:rsidR="00C741C1">
        <w:t>termijn is de Cliënt van rechtswege in verzuim en is een vertragingsrente gelijk aan 1,5% per maand verschuldigd. De Cliënt komt geen beroep toe op opschorting of verrekening.</w:t>
      </w:r>
    </w:p>
    <w:p w14:paraId="48440411" w14:textId="77777777" w:rsidR="00221A16" w:rsidRDefault="00221A16" w:rsidP="00221A16">
      <w:pPr>
        <w:pStyle w:val="Lijstalinea"/>
      </w:pPr>
    </w:p>
    <w:p w14:paraId="7E491380" w14:textId="2530CDBA" w:rsidR="00274D4F" w:rsidRDefault="00C741C1" w:rsidP="00C741C1">
      <w:pPr>
        <w:pStyle w:val="Lijstalinea"/>
        <w:numPr>
          <w:ilvl w:val="0"/>
          <w:numId w:val="5"/>
        </w:numPr>
      </w:pPr>
      <w:r>
        <w:t xml:space="preserve">Alleen betaling door overmaking op de gestelde bank- of girorekeningen van de </w:t>
      </w:r>
      <w:r w:rsidR="00EE6E5F">
        <w:t>desbetreffende AKDP advocaat</w:t>
      </w:r>
      <w:r>
        <w:t xml:space="preserve"> dan wel betaling in contanten (tot het op het moment van betaling in de advocatuur ter</w:t>
      </w:r>
      <w:r w:rsidR="00246E1D">
        <w:t xml:space="preserve"> </w:t>
      </w:r>
      <w:r>
        <w:t>zake algemeen aanvaard maximum) tegen behoorlijk bewijs van voldoening, leidt tot kwijting van de Cliënt.</w:t>
      </w:r>
    </w:p>
    <w:p w14:paraId="2A27517D" w14:textId="77777777" w:rsidR="00221A16" w:rsidRDefault="00221A16" w:rsidP="00221A16">
      <w:pPr>
        <w:pStyle w:val="Lijstalinea"/>
      </w:pPr>
    </w:p>
    <w:p w14:paraId="177070CE" w14:textId="38C512E1" w:rsidR="00026C6B" w:rsidRDefault="00C741C1" w:rsidP="00C741C1">
      <w:pPr>
        <w:pStyle w:val="Lijstalinea"/>
        <w:numPr>
          <w:ilvl w:val="0"/>
          <w:numId w:val="5"/>
        </w:numPr>
      </w:pPr>
      <w:r>
        <w:t xml:space="preserve">Indien de </w:t>
      </w:r>
      <w:r w:rsidR="0078777B">
        <w:t>AKDP</w:t>
      </w:r>
      <w:r w:rsidR="00274D4F">
        <w:t xml:space="preserve"> advocaat </w:t>
      </w:r>
      <w:r>
        <w:t>invorderingsmaatregelen treft tegen de Cliënt die in verzuim is, komen de kosten, vallende op die invordering ten laste van de Cliënt.</w:t>
      </w:r>
    </w:p>
    <w:p w14:paraId="3070CFEE" w14:textId="77777777" w:rsidR="00221A16" w:rsidRDefault="00221A16" w:rsidP="00221A16">
      <w:pPr>
        <w:pStyle w:val="Lijstalinea"/>
      </w:pPr>
    </w:p>
    <w:p w14:paraId="70DF0124" w14:textId="524B93B5" w:rsidR="00C741C1" w:rsidRDefault="00C741C1" w:rsidP="00C741C1">
      <w:pPr>
        <w:pStyle w:val="Lijstalinea"/>
        <w:numPr>
          <w:ilvl w:val="0"/>
          <w:numId w:val="5"/>
        </w:numPr>
      </w:pPr>
      <w:r>
        <w:t xml:space="preserve">Indien de Cliënt een consument is, worden de kosten in rekening gebracht volgens “het Besluit Vergoeding voor Buitengerechtelijke Incassokosten”, zoals genoemd in lid 4 van artikel 6:96 BW. Hierbij is bepalend dat de zaak betrekking heeft op een uit overeenkomst voortvloeiende verbintenis tot betaling van een geldsom, dan wel dat sprake is van vergoeding van schade die voortvloeit uit een vaststellingsovereenkomst of dat het een verbintenis tot betaling van een geldsom betreft die is omgezet in een verbintenis tot vervangende schadevergoeding in de zin van artikel 6:87 </w:t>
      </w:r>
      <w:r w:rsidR="0078777B">
        <w:t>BW. De</w:t>
      </w:r>
      <w:r>
        <w:t xml:space="preserve"> tarieven voor de incassokosten zijn als volgt:</w:t>
      </w:r>
    </w:p>
    <w:p w14:paraId="7C91B554" w14:textId="77777777" w:rsidR="00026C6B" w:rsidRDefault="00C741C1" w:rsidP="00026C6B">
      <w:pPr>
        <w:ind w:firstLine="708"/>
      </w:pPr>
      <w:r>
        <w:lastRenderedPageBreak/>
        <w:t>Minimumtarief € 40,</w:t>
      </w:r>
    </w:p>
    <w:p w14:paraId="2D797741" w14:textId="7D59E421" w:rsidR="00C741C1" w:rsidRDefault="00C741C1" w:rsidP="00026C6B">
      <w:pPr>
        <w:ind w:firstLine="708"/>
      </w:pPr>
      <w:r>
        <w:t>15% over eerste € 2.500,-</w:t>
      </w:r>
    </w:p>
    <w:p w14:paraId="27E0B29C" w14:textId="77777777" w:rsidR="00C741C1" w:rsidRDefault="00C741C1" w:rsidP="00026C6B">
      <w:pPr>
        <w:ind w:firstLine="708"/>
      </w:pPr>
      <w:r>
        <w:t>10% over volgende € 2.500,-</w:t>
      </w:r>
    </w:p>
    <w:p w14:paraId="7230D4C6" w14:textId="77777777" w:rsidR="00C741C1" w:rsidRDefault="00C741C1" w:rsidP="00026C6B">
      <w:pPr>
        <w:ind w:firstLine="708"/>
      </w:pPr>
      <w:r>
        <w:t>5% over volgende € 5.000,-</w:t>
      </w:r>
    </w:p>
    <w:p w14:paraId="565FA26B" w14:textId="77777777" w:rsidR="00C741C1" w:rsidRDefault="00C741C1" w:rsidP="00026C6B">
      <w:pPr>
        <w:ind w:firstLine="708"/>
      </w:pPr>
      <w:r>
        <w:t>1% over volgende € 190.000,-</w:t>
      </w:r>
    </w:p>
    <w:p w14:paraId="2DE6D1B1" w14:textId="77777777" w:rsidR="00C741C1" w:rsidRDefault="00C741C1" w:rsidP="00026C6B">
      <w:pPr>
        <w:ind w:firstLine="708"/>
      </w:pPr>
      <w:r>
        <w:t>0,5% over het meerdere van de hoofdsom met en maximum van € 6.775,-</w:t>
      </w:r>
    </w:p>
    <w:p w14:paraId="0B073F95" w14:textId="123973D9" w:rsidR="00C741C1" w:rsidRDefault="00C741C1" w:rsidP="00026C6B">
      <w:pPr>
        <w:pStyle w:val="Lijstalinea"/>
        <w:numPr>
          <w:ilvl w:val="0"/>
          <w:numId w:val="5"/>
        </w:numPr>
      </w:pPr>
      <w:r>
        <w:t>Indien de Cliënt een rechtspersoon is, of een natuurlijk persoon die handelt in de uitoefening van een beroep of bedrijf, wordt aanspraak gemaakt op buitengerechtelijke incassokosten van 15% van de verschuldigde hoofdsom met een minimum van € 75,-.</w:t>
      </w:r>
    </w:p>
    <w:p w14:paraId="6E184049" w14:textId="77777777" w:rsidR="00221A16" w:rsidRDefault="00221A16" w:rsidP="00221A16">
      <w:pPr>
        <w:pStyle w:val="Lijstalinea"/>
      </w:pPr>
    </w:p>
    <w:p w14:paraId="301EE729" w14:textId="38E7605C" w:rsidR="00C741C1" w:rsidRDefault="00C741C1" w:rsidP="005E3C25">
      <w:pPr>
        <w:pStyle w:val="Lijstalinea"/>
        <w:numPr>
          <w:ilvl w:val="0"/>
          <w:numId w:val="5"/>
        </w:numPr>
      </w:pPr>
      <w:r>
        <w:t>Indien een declaratie of voorschot niet binnen de betalingstermijn wordt voldaan kan de A</w:t>
      </w:r>
      <w:r w:rsidR="005E3C25">
        <w:t>KDP</w:t>
      </w:r>
      <w:r w:rsidR="004212D2">
        <w:t xml:space="preserve"> advocaat</w:t>
      </w:r>
      <w:r>
        <w:t xml:space="preserve"> </w:t>
      </w:r>
      <w:r w:rsidR="004212D2">
        <w:t>zijn/</w:t>
      </w:r>
      <w:r>
        <w:t xml:space="preserve">haar werkzaamheden binnen de geldende regelgeving opschorten, nadat de Cliënt van het voornemen daartoe op de hoogte is gesteld. De </w:t>
      </w:r>
      <w:r w:rsidR="003C2C32">
        <w:t>AKDP</w:t>
      </w:r>
      <w:r w:rsidR="004212D2">
        <w:t xml:space="preserve"> advocaat</w:t>
      </w:r>
      <w:r>
        <w:t xml:space="preserve"> is niet aansprakelijk voor schade die ontstaat als gevolg van deze opschorting van de werkzaamheden.</w:t>
      </w:r>
    </w:p>
    <w:p w14:paraId="165816E4" w14:textId="77777777" w:rsidR="00221A16" w:rsidRDefault="00221A16" w:rsidP="00221A16">
      <w:pPr>
        <w:pStyle w:val="Lijstalinea"/>
      </w:pPr>
    </w:p>
    <w:p w14:paraId="6DC515D1" w14:textId="02470991" w:rsidR="00C741C1" w:rsidRPr="003D00E5" w:rsidRDefault="006E39EC" w:rsidP="005D7329">
      <w:pPr>
        <w:ind w:left="705" w:hanging="705"/>
        <w:rPr>
          <w:b/>
          <w:bCs/>
        </w:rPr>
      </w:pPr>
      <w:r>
        <w:t>VII</w:t>
      </w:r>
      <w:r>
        <w:tab/>
      </w:r>
      <w:r w:rsidRPr="003D00E5">
        <w:rPr>
          <w:b/>
          <w:bCs/>
        </w:rPr>
        <w:t>Aansprakelijkheid</w:t>
      </w:r>
    </w:p>
    <w:p w14:paraId="562063C5" w14:textId="76AAD3B7" w:rsidR="003D2FA5" w:rsidRDefault="0018567C" w:rsidP="0018567C">
      <w:pPr>
        <w:pStyle w:val="Lijstalinea"/>
        <w:numPr>
          <w:ilvl w:val="0"/>
          <w:numId w:val="6"/>
        </w:numPr>
      </w:pPr>
      <w:r>
        <w:t xml:space="preserve">De </w:t>
      </w:r>
      <w:r w:rsidR="00B01357">
        <w:t>AKDP</w:t>
      </w:r>
      <w:r>
        <w:t xml:space="preserve"> advocaat heeft een eigen individuele beroepsaansprakelijkheidsverzekering en bedrijfsaansprakelijkheidsverzekering afgesloten.</w:t>
      </w:r>
    </w:p>
    <w:p w14:paraId="6F9F754E" w14:textId="77777777" w:rsidR="00221A16" w:rsidRDefault="00221A16" w:rsidP="00221A16">
      <w:pPr>
        <w:pStyle w:val="Lijstalinea"/>
      </w:pPr>
    </w:p>
    <w:p w14:paraId="3AAAE128" w14:textId="77777777" w:rsidR="008C7797" w:rsidRDefault="0018567C" w:rsidP="0018567C">
      <w:pPr>
        <w:pStyle w:val="Lijstalinea"/>
        <w:numPr>
          <w:ilvl w:val="0"/>
          <w:numId w:val="6"/>
        </w:numPr>
      </w:pPr>
      <w:r>
        <w:t xml:space="preserve">De aansprakelijkheid van de </w:t>
      </w:r>
      <w:r w:rsidR="003D2FA5">
        <w:t>AKDP advocaat</w:t>
      </w:r>
      <w:r>
        <w:t xml:space="preserve"> voor schade, voortvloeiende uit of verband houdende met de uitvoering van een opdracht, is steeds beperkt tot het bedrag waarop de individuele beroepsaansprakelijkheidsverzekering dan wel bedrijfsaansprakelijkheidsverzekering in het desbetreffende geval aanspraak geeft, vermeerderd met het bedrag van het eigen risico volgens de desbetreffende polis.</w:t>
      </w:r>
    </w:p>
    <w:p w14:paraId="42C24FDA" w14:textId="77777777" w:rsidR="00221A16" w:rsidRDefault="00221A16" w:rsidP="00221A16">
      <w:pPr>
        <w:pStyle w:val="Lijstalinea"/>
      </w:pPr>
    </w:p>
    <w:p w14:paraId="1E515F50" w14:textId="77777777" w:rsidR="00906DC7" w:rsidRDefault="007979F6" w:rsidP="0018567C">
      <w:pPr>
        <w:pStyle w:val="Lijstalinea"/>
        <w:numPr>
          <w:ilvl w:val="0"/>
          <w:numId w:val="6"/>
        </w:numPr>
      </w:pPr>
      <w:r>
        <w:t xml:space="preserve">Behoudens in geval van opzet </w:t>
      </w:r>
      <w:r w:rsidR="00176BE2">
        <w:t xml:space="preserve">of bewuste roekeloosheid </w:t>
      </w:r>
      <w:r w:rsidR="0051719A">
        <w:t xml:space="preserve">van de AKDP advocaat </w:t>
      </w:r>
      <w:r w:rsidR="00C462FA">
        <w:t>is, als</w:t>
      </w:r>
      <w:r w:rsidR="0018567C">
        <w:t xml:space="preserve"> om welke reden dan ook geen uitkering door een verzekeraar plaatsvindt, de totale aansprakelijkheid van de </w:t>
      </w:r>
      <w:r w:rsidR="001412D6">
        <w:t>AKDP</w:t>
      </w:r>
      <w:r w:rsidR="0045203E">
        <w:t xml:space="preserve"> advocaat</w:t>
      </w:r>
      <w:r w:rsidR="0018567C">
        <w:t xml:space="preserve"> voor schade als gevolg van een tekortkoming onder de overeenkomst, onrechtmatige daad of uit andere hoofde beperkt tot vergoeding van uitsluitend directe schade en uitsluitend tot een bedrag gelijk aan twee maal het honorarium dat in de betreffende zaak is gedeclareerd in de twaalf maanden voorafgaand aan de gebeurtenis waardoor de aansprakelijkheid ontstond, met een maximum van € 7.500,-. De A</w:t>
      </w:r>
      <w:r w:rsidR="0045203E">
        <w:t xml:space="preserve">KDP </w:t>
      </w:r>
      <w:r w:rsidR="001412D6">
        <w:t>advocaat</w:t>
      </w:r>
      <w:r w:rsidR="0018567C">
        <w:t xml:space="preserve"> is niet aansprakelijk voor indirecte schade, waaronder begrepen: verlies van winst, verlies van omzet, verlies of aantasting van gegevens, verlies van goodwill. Reputatieschade en/of gevolgschade is uitgesloten.</w:t>
      </w:r>
    </w:p>
    <w:p w14:paraId="0CCB1C59" w14:textId="77777777" w:rsidR="00221A16" w:rsidRDefault="00221A16" w:rsidP="00221A16">
      <w:pPr>
        <w:pStyle w:val="Lijstalinea"/>
      </w:pPr>
    </w:p>
    <w:p w14:paraId="1F65E8B6" w14:textId="1A068B22" w:rsidR="00C537B5" w:rsidRDefault="00AB0E3F" w:rsidP="0018567C">
      <w:pPr>
        <w:pStyle w:val="Lijstalinea"/>
        <w:numPr>
          <w:ilvl w:val="0"/>
          <w:numId w:val="6"/>
        </w:numPr>
      </w:pPr>
      <w:r>
        <w:t>Ook ind</w:t>
      </w:r>
      <w:r w:rsidR="002414B1">
        <w:t xml:space="preserve">ien de </w:t>
      </w:r>
      <w:r w:rsidR="00CF0236">
        <w:t xml:space="preserve">individuele </w:t>
      </w:r>
      <w:r w:rsidR="002414B1">
        <w:t xml:space="preserve">AKDP advocaat aansprakelijk is, is </w:t>
      </w:r>
      <w:r w:rsidR="00C537B5">
        <w:t>AKDP ad</w:t>
      </w:r>
      <w:r>
        <w:t>vocaten</w:t>
      </w:r>
      <w:r w:rsidR="00CF0236">
        <w:t xml:space="preserve"> uitdrukkelijk niet aansprakelijk </w:t>
      </w:r>
      <w:r w:rsidR="005F3A64">
        <w:t xml:space="preserve">voor enige schade veroorzaakt door een AKDP advocaat. </w:t>
      </w:r>
    </w:p>
    <w:p w14:paraId="370A561E" w14:textId="77777777" w:rsidR="00221A16" w:rsidRDefault="00221A16" w:rsidP="00221A16">
      <w:pPr>
        <w:pStyle w:val="Lijstalinea"/>
      </w:pPr>
    </w:p>
    <w:p w14:paraId="1269B891" w14:textId="77777777" w:rsidR="002C7981" w:rsidRDefault="0018567C" w:rsidP="0018567C">
      <w:pPr>
        <w:pStyle w:val="Lijstalinea"/>
        <w:numPr>
          <w:ilvl w:val="0"/>
          <w:numId w:val="6"/>
        </w:numPr>
      </w:pPr>
      <w:r>
        <w:t>Bij het inschakelen van derden zal het kantoor steeds de nodige zorgvuldigheid in acht nemen. Het kantoor is echter voor eventuele tekortkomingen van deze derden niet aansprakelijk.</w:t>
      </w:r>
    </w:p>
    <w:p w14:paraId="05414753" w14:textId="77777777" w:rsidR="00253C64" w:rsidRDefault="0018567C" w:rsidP="0018567C">
      <w:pPr>
        <w:pStyle w:val="Lijstalinea"/>
        <w:numPr>
          <w:ilvl w:val="0"/>
          <w:numId w:val="6"/>
        </w:numPr>
      </w:pPr>
      <w:r>
        <w:lastRenderedPageBreak/>
        <w:t>Onverminderd het bepaalde in artikel 6:89 BW vervalt een aanspraak tot schadevergoeding in elk geval indien de A</w:t>
      </w:r>
      <w:r w:rsidR="002C7981">
        <w:t>KDP advocaat</w:t>
      </w:r>
      <w:r>
        <w:t xml:space="preserve"> daarvan niet schriftelijk in kennis is gesteld binnen drie maanden nadat Cliënt bekend raakte of redelijkerwijze bekend kon zijn met de gebeurtenis of het nalaten waaruit de schade voortvloeit.</w:t>
      </w:r>
    </w:p>
    <w:p w14:paraId="05D9C592" w14:textId="77777777" w:rsidR="00221A16" w:rsidRDefault="00221A16" w:rsidP="00221A16">
      <w:pPr>
        <w:pStyle w:val="Lijstalinea"/>
      </w:pPr>
    </w:p>
    <w:p w14:paraId="2C6747FE" w14:textId="091BB6A4" w:rsidR="0018567C" w:rsidRPr="00221A16" w:rsidRDefault="0018567C" w:rsidP="0018567C">
      <w:pPr>
        <w:pStyle w:val="Lijstalinea"/>
        <w:numPr>
          <w:ilvl w:val="0"/>
          <w:numId w:val="6"/>
        </w:numPr>
      </w:pPr>
      <w:r>
        <w:t>De werking van de artikelen 7:404 en 7:407 lid 2 BW is uitgesloten. Voor zover de A</w:t>
      </w:r>
      <w:r w:rsidR="00DA463E">
        <w:t>KDP advocaat</w:t>
      </w:r>
      <w:r>
        <w:t xml:space="preserve"> een praktijkvennootschap is, kan degene(n) die eigenaar is van die praktijkvennootschap een beroep doen op de rechten en verplichtingen van deze algemene voorwaarden, waaronder tevens begrepen de aansprakelijkheidsbeperking in dit artikel. Dit </w:t>
      </w:r>
      <w:r w:rsidRPr="00221A16">
        <w:t>recht wordt om niet verstrekt en behoeft derhalve niet de aanvaarding zoals bedoeld in artikel 6:253 BW.</w:t>
      </w:r>
    </w:p>
    <w:p w14:paraId="3B547B4B" w14:textId="77777777" w:rsidR="00153174" w:rsidRPr="00221A16" w:rsidRDefault="000511C7" w:rsidP="00153174">
      <w:pPr>
        <w:rPr>
          <w:b/>
          <w:bCs/>
        </w:rPr>
      </w:pPr>
      <w:r w:rsidRPr="00221A16">
        <w:t>VIII</w:t>
      </w:r>
      <w:r w:rsidR="0089618C" w:rsidRPr="00221A16">
        <w:tab/>
      </w:r>
      <w:r w:rsidRPr="00221A16">
        <w:rPr>
          <w:b/>
          <w:bCs/>
        </w:rPr>
        <w:t>Inschakelen van derden.</w:t>
      </w:r>
    </w:p>
    <w:p w14:paraId="4D6784F5" w14:textId="3F6A35AE" w:rsidR="00570502" w:rsidRDefault="004F232B" w:rsidP="00C9474F">
      <w:pPr>
        <w:pStyle w:val="Lijstalinea"/>
        <w:numPr>
          <w:ilvl w:val="0"/>
          <w:numId w:val="7"/>
        </w:numPr>
      </w:pPr>
      <w:r w:rsidRPr="00221A16">
        <w:t>De A</w:t>
      </w:r>
      <w:r w:rsidR="00B30EC1" w:rsidRPr="00221A16">
        <w:t>KDP advocaat</w:t>
      </w:r>
      <w:r w:rsidRPr="00221A16">
        <w:t xml:space="preserve"> is bevoegd om namens Cliënt derden (waaronder: andere advocaten binnen</w:t>
      </w:r>
      <w:r w:rsidR="002D72AE">
        <w:t xml:space="preserve"> en buiten</w:t>
      </w:r>
      <w:r w:rsidRPr="00221A16">
        <w:t xml:space="preserve"> het samenwerkingsverband A</w:t>
      </w:r>
      <w:r w:rsidR="004958E9" w:rsidRPr="00221A16">
        <w:t>KDP a</w:t>
      </w:r>
      <w:r w:rsidRPr="00221A16">
        <w:t xml:space="preserve">dvocaten), deurwaarders, notarissen, accountants </w:t>
      </w:r>
      <w:r w:rsidR="002D72AE">
        <w:t xml:space="preserve">en </w:t>
      </w:r>
      <w:r w:rsidRPr="00221A16">
        <w:t xml:space="preserve">andere deskundigen) bij de uitvoering van de opdracht te betrekken voor zover de </w:t>
      </w:r>
      <w:r w:rsidR="004958E9" w:rsidRPr="00221A16">
        <w:t>AKDP advocaat</w:t>
      </w:r>
      <w:r w:rsidRPr="00221A16">
        <w:t xml:space="preserve"> dat voor een juiste uitvoering van de opdracht gewenst acht.</w:t>
      </w:r>
    </w:p>
    <w:p w14:paraId="1D04DC73" w14:textId="77777777" w:rsidR="00221A16" w:rsidRPr="00221A16" w:rsidRDefault="00221A16" w:rsidP="00221A16">
      <w:pPr>
        <w:pStyle w:val="Lijstalinea"/>
      </w:pPr>
    </w:p>
    <w:p w14:paraId="12AAB215" w14:textId="77777777" w:rsidR="00F14922" w:rsidRDefault="004F232B" w:rsidP="004F232B">
      <w:pPr>
        <w:pStyle w:val="Lijstalinea"/>
        <w:numPr>
          <w:ilvl w:val="0"/>
          <w:numId w:val="7"/>
        </w:numPr>
      </w:pPr>
      <w:r w:rsidRPr="00221A16">
        <w:t>Indien een</w:t>
      </w:r>
      <w:r>
        <w:t xml:space="preserve"> A</w:t>
      </w:r>
      <w:r w:rsidR="00570502">
        <w:t>KDP advocaat</w:t>
      </w:r>
      <w:r>
        <w:t xml:space="preserve"> een derde als bedoeld in het vorige lid inschakelt om in verband met de uitvoering van de opdracht werkzaamheden te verrichten, is de A</w:t>
      </w:r>
      <w:r w:rsidR="00570502">
        <w:t>KDP advocaat</w:t>
      </w:r>
      <w:r>
        <w:t xml:space="preserve"> niet aansprakelijk voor fouten die door deze derde mochten worden gemaakt.</w:t>
      </w:r>
    </w:p>
    <w:p w14:paraId="6C08C320" w14:textId="77777777" w:rsidR="00221A16" w:rsidRDefault="00221A16" w:rsidP="00221A16">
      <w:pPr>
        <w:pStyle w:val="Lijstalinea"/>
      </w:pPr>
    </w:p>
    <w:p w14:paraId="2141C0FC" w14:textId="27328CF3" w:rsidR="004F232B" w:rsidRDefault="004F232B" w:rsidP="004F232B">
      <w:pPr>
        <w:pStyle w:val="Lijstalinea"/>
        <w:numPr>
          <w:ilvl w:val="0"/>
          <w:numId w:val="7"/>
        </w:numPr>
      </w:pPr>
      <w:r>
        <w:t>Derden die in verband met de uitvoering van een opdracht worden ingeschakeld willen mogelijk hun aansprakelijkheid beperken. Alle aan de A</w:t>
      </w:r>
      <w:r w:rsidR="00F14922">
        <w:t>KDP advocaat</w:t>
      </w:r>
      <w:r>
        <w:t xml:space="preserve"> verstrekte opdrachten houden tevens de bevoegdheid in om een dergelijke aansprakelijkheidsbeperking en/of andere bijzondere contractvoorwaarden mede namens de Cliënt te aanvaarden, in welk geval de A</w:t>
      </w:r>
      <w:r w:rsidR="00F14922">
        <w:t>KDP advocaat</w:t>
      </w:r>
      <w:r>
        <w:t xml:space="preserve"> deze aansprakelijkheidsbeperking en/of bijzondere contractvoorwaarden zullen mogen tegenwerpen aan de Cliënt voor zover het de uitvoering van de opdracht door de derde betreft</w:t>
      </w:r>
      <w:r w:rsidR="00F14922">
        <w:t>.</w:t>
      </w:r>
    </w:p>
    <w:p w14:paraId="56AB011F" w14:textId="77777777" w:rsidR="00221A16" w:rsidRDefault="00221A16" w:rsidP="00221A16">
      <w:pPr>
        <w:pStyle w:val="Lijstalinea"/>
      </w:pPr>
    </w:p>
    <w:p w14:paraId="64DCAED7" w14:textId="054AF2A5" w:rsidR="00F14922" w:rsidRPr="003D00E5" w:rsidRDefault="00F14922" w:rsidP="00F14922">
      <w:pPr>
        <w:rPr>
          <w:b/>
          <w:bCs/>
        </w:rPr>
      </w:pPr>
      <w:r>
        <w:t>IX</w:t>
      </w:r>
      <w:r w:rsidR="007B026F">
        <w:tab/>
      </w:r>
      <w:r w:rsidR="007B026F" w:rsidRPr="003D00E5">
        <w:rPr>
          <w:b/>
          <w:bCs/>
        </w:rPr>
        <w:t>Archivering</w:t>
      </w:r>
    </w:p>
    <w:p w14:paraId="3EE3E036" w14:textId="23D57678" w:rsidR="007B026F" w:rsidRDefault="007B026F" w:rsidP="00625CD1">
      <w:pPr>
        <w:ind w:left="708"/>
      </w:pPr>
      <w:r>
        <w:t>Het dossier wordt gedurende zeven jaar nadat de uitvoering van de opdracht is afgerond bewaard, waarna het de AKDP advocaat vrij staat het dossier te vernietigen.</w:t>
      </w:r>
    </w:p>
    <w:p w14:paraId="1885323C" w14:textId="77777777" w:rsidR="00221A16" w:rsidRDefault="00221A16" w:rsidP="00625CD1">
      <w:pPr>
        <w:ind w:left="708"/>
      </w:pPr>
    </w:p>
    <w:p w14:paraId="04D78A2E" w14:textId="77777777" w:rsidR="00582B7E" w:rsidRPr="003D00E5" w:rsidRDefault="007B026F" w:rsidP="00906185">
      <w:pPr>
        <w:rPr>
          <w:b/>
          <w:bCs/>
        </w:rPr>
      </w:pPr>
      <w:r>
        <w:t>X.</w:t>
      </w:r>
      <w:r w:rsidR="00392D22">
        <w:tab/>
      </w:r>
      <w:r w:rsidR="00EB12FF" w:rsidRPr="003D00E5">
        <w:rPr>
          <w:b/>
          <w:bCs/>
        </w:rPr>
        <w:t>Gegevens</w:t>
      </w:r>
    </w:p>
    <w:p w14:paraId="4F68B280" w14:textId="7AA5E448" w:rsidR="006448E5" w:rsidRDefault="00582B7E" w:rsidP="006448E5">
      <w:pPr>
        <w:ind w:left="705" w:hanging="705"/>
      </w:pPr>
      <w:r>
        <w:t>a</w:t>
      </w:r>
      <w:r w:rsidR="006448E5">
        <w:t>.</w:t>
      </w:r>
      <w:r>
        <w:tab/>
      </w:r>
      <w:r w:rsidR="00EB12FF">
        <w:t xml:space="preserve">De </w:t>
      </w:r>
      <w:r w:rsidR="001A70F9">
        <w:t>AKDP advocaat</w:t>
      </w:r>
      <w:r w:rsidR="00EB12FF">
        <w:t xml:space="preserve"> zal bij de uitvoering van de opdracht de gepaste maatregelen treffen ter bewaring van de vertrouwelijkheid van de Cliëntrelatie.</w:t>
      </w:r>
    </w:p>
    <w:p w14:paraId="5B0C6191" w14:textId="18F03555" w:rsidR="008F1723" w:rsidRDefault="00D51057" w:rsidP="00DE2131">
      <w:pPr>
        <w:ind w:left="705" w:hanging="705"/>
      </w:pPr>
      <w:r>
        <w:t xml:space="preserve">b. </w:t>
      </w:r>
      <w:r>
        <w:tab/>
      </w:r>
      <w:r w:rsidR="00EB12FF">
        <w:t>Ingevolge toepasselijke regelgeving, waaronder de Wet ter voorkoming van witwassen en financieren van terrorisme, is de A</w:t>
      </w:r>
      <w:r w:rsidR="008F1723">
        <w:t>KDP advocaat</w:t>
      </w:r>
      <w:r w:rsidR="00EB12FF">
        <w:t xml:space="preserve"> verplicht de identiteit van hun opdrachtgevers vast te stellen en onder omstandigheden bepaalde ongebruikelijke transacties aan de autoriteiten te melden. Door het verstrekken van een opdracht aan de A</w:t>
      </w:r>
      <w:r w:rsidR="008F1723">
        <w:t>KDP advocaat</w:t>
      </w:r>
      <w:r w:rsidR="00EB12FF">
        <w:t xml:space="preserve"> bevestigt de Cliënt bekend te zijn met die verplichting en voor zover noodzakelijk toestemming te geven om die gegevens te verstrekken.</w:t>
      </w:r>
    </w:p>
    <w:p w14:paraId="08AED1C5" w14:textId="373575AD" w:rsidR="00EB12FF" w:rsidRDefault="00970E42" w:rsidP="008F1723">
      <w:pPr>
        <w:ind w:left="705" w:hanging="705"/>
      </w:pPr>
      <w:r>
        <w:lastRenderedPageBreak/>
        <w:t>c.</w:t>
      </w:r>
      <w:r>
        <w:tab/>
      </w:r>
      <w:r w:rsidR="00EB12FF">
        <w:t>De Cliënt verleent toestemming om bij de A</w:t>
      </w:r>
      <w:r>
        <w:t>KDP advocaat</w:t>
      </w:r>
      <w:r w:rsidR="00EB12FF">
        <w:t xml:space="preserve"> bekende Cliëntgegevens, onder voorwaarde van geheimhouding, ter kennis te brengen van andere A</w:t>
      </w:r>
      <w:r>
        <w:t>KDP advocaten</w:t>
      </w:r>
      <w:r w:rsidR="00EB12FF">
        <w:t xml:space="preserve"> of van derden in de zin van artikel 7 sub A.</w:t>
      </w:r>
    </w:p>
    <w:p w14:paraId="488EF18D" w14:textId="2ED58E5B" w:rsidR="006557A4" w:rsidRDefault="006557A4" w:rsidP="008F1723">
      <w:pPr>
        <w:ind w:left="705" w:hanging="705"/>
      </w:pPr>
    </w:p>
    <w:p w14:paraId="51C3149F" w14:textId="48045B4E" w:rsidR="006557A4" w:rsidRPr="003D00E5" w:rsidRDefault="006557A4" w:rsidP="008F1723">
      <w:pPr>
        <w:ind w:left="705" w:hanging="705"/>
        <w:rPr>
          <w:b/>
          <w:bCs/>
        </w:rPr>
      </w:pPr>
      <w:r>
        <w:t>XI</w:t>
      </w:r>
      <w:r>
        <w:tab/>
      </w:r>
      <w:r w:rsidR="007F0D34" w:rsidRPr="003D00E5">
        <w:rPr>
          <w:b/>
          <w:bCs/>
        </w:rPr>
        <w:t>Klachtenregeling</w:t>
      </w:r>
    </w:p>
    <w:p w14:paraId="65974870" w14:textId="359E835E" w:rsidR="008D5BB7" w:rsidRDefault="007F0D34" w:rsidP="007F0D34">
      <w:pPr>
        <w:pStyle w:val="Lijstalinea"/>
        <w:numPr>
          <w:ilvl w:val="0"/>
          <w:numId w:val="8"/>
        </w:numPr>
      </w:pPr>
      <w:r>
        <w:t>De A</w:t>
      </w:r>
      <w:r w:rsidR="00387797">
        <w:t>K</w:t>
      </w:r>
      <w:r w:rsidR="008D5BB7">
        <w:t>DP advocaat</w:t>
      </w:r>
      <w:r>
        <w:t xml:space="preserve"> hanteert een klachtenreglement welke is op te vragen bij A</w:t>
      </w:r>
      <w:r w:rsidR="008D5BB7">
        <w:t>KDP</w:t>
      </w:r>
      <w:r>
        <w:t xml:space="preserve"> Advocaten en welke op eerste verzoek kosteloos zal worden toegezonden.</w:t>
      </w:r>
    </w:p>
    <w:p w14:paraId="5CD61B2A" w14:textId="77777777" w:rsidR="006448E5" w:rsidRDefault="006448E5" w:rsidP="006448E5">
      <w:pPr>
        <w:pStyle w:val="Lijstalinea"/>
      </w:pPr>
    </w:p>
    <w:p w14:paraId="4C079E07" w14:textId="00FE86C9" w:rsidR="007F0D34" w:rsidRDefault="007F0D34" w:rsidP="007F0D34">
      <w:pPr>
        <w:pStyle w:val="Lijstalinea"/>
        <w:numPr>
          <w:ilvl w:val="0"/>
          <w:numId w:val="8"/>
        </w:numPr>
      </w:pPr>
      <w:r>
        <w:t>Het klachtenreglement biedt Cliënt de mogelijkheid schriftelijk (waaronder begrepen: per e-mail) een klacht in te dienen over het optreden van de A</w:t>
      </w:r>
      <w:r w:rsidR="008D5BB7">
        <w:t>KDP advocaat</w:t>
      </w:r>
      <w:r>
        <w:t xml:space="preserve"> of over de declaratie. De klacht kan worden gericht aan de klachtenfunctionaris van A</w:t>
      </w:r>
      <w:r w:rsidR="00CD2EAB">
        <w:t>KDP</w:t>
      </w:r>
      <w:r>
        <w:t xml:space="preserve"> Advocaten.</w:t>
      </w:r>
    </w:p>
    <w:p w14:paraId="44D8024E" w14:textId="77777777" w:rsidR="003653A3" w:rsidRDefault="003653A3" w:rsidP="003653A3">
      <w:pPr>
        <w:pStyle w:val="Lijstalinea"/>
      </w:pPr>
    </w:p>
    <w:p w14:paraId="394C1CB2" w14:textId="64CE5721" w:rsidR="00D36C22" w:rsidRPr="003D00E5" w:rsidRDefault="00CD2EAB" w:rsidP="00CD2EAB">
      <w:pPr>
        <w:rPr>
          <w:b/>
          <w:bCs/>
        </w:rPr>
      </w:pPr>
      <w:r>
        <w:t>X</w:t>
      </w:r>
      <w:r w:rsidR="003653A3">
        <w:t>II</w:t>
      </w:r>
      <w:r w:rsidR="003653A3">
        <w:tab/>
      </w:r>
      <w:r w:rsidR="00D36C22" w:rsidRPr="003D00E5">
        <w:rPr>
          <w:b/>
          <w:bCs/>
        </w:rPr>
        <w:t xml:space="preserve">Toepasselijk recht en </w:t>
      </w:r>
      <w:r w:rsidR="003D00E5">
        <w:rPr>
          <w:b/>
          <w:bCs/>
        </w:rPr>
        <w:t>rechtban</w:t>
      </w:r>
      <w:r w:rsidR="00477FCB">
        <w:rPr>
          <w:b/>
          <w:bCs/>
        </w:rPr>
        <w:t>k</w:t>
      </w:r>
    </w:p>
    <w:p w14:paraId="0F0E0104" w14:textId="09CFC0B0" w:rsidR="00FA5D49" w:rsidRDefault="00FA5D49" w:rsidP="00FA5D49">
      <w:pPr>
        <w:pStyle w:val="Lijstalinea"/>
        <w:numPr>
          <w:ilvl w:val="0"/>
          <w:numId w:val="9"/>
        </w:numPr>
      </w:pPr>
      <w:r>
        <w:t xml:space="preserve">Op de rechtsverhouding tussen de </w:t>
      </w:r>
      <w:r w:rsidR="001902AE">
        <w:t>AKDP</w:t>
      </w:r>
      <w:r>
        <w:t xml:space="preserve"> advocaat en de Cliënt is Nederlands recht van toepassing.</w:t>
      </w:r>
    </w:p>
    <w:p w14:paraId="00FE0A09" w14:textId="77777777" w:rsidR="006448E5" w:rsidRDefault="006448E5" w:rsidP="006448E5">
      <w:pPr>
        <w:pStyle w:val="Lijstalinea"/>
      </w:pPr>
    </w:p>
    <w:p w14:paraId="021FDE95" w14:textId="15786FE5" w:rsidR="001902AE" w:rsidRDefault="001902AE" w:rsidP="00FA5D49">
      <w:pPr>
        <w:pStyle w:val="Lijstalinea"/>
        <w:numPr>
          <w:ilvl w:val="0"/>
          <w:numId w:val="9"/>
        </w:numPr>
      </w:pPr>
      <w:r>
        <w:t>Geschill</w:t>
      </w:r>
      <w:r w:rsidR="00083774">
        <w:t xml:space="preserve">en tussen de AKDP </w:t>
      </w:r>
      <w:r w:rsidR="00D51057">
        <w:t>advocaat</w:t>
      </w:r>
      <w:r w:rsidR="00083774">
        <w:t xml:space="preserve"> en de Cliënt worden voorgelegd aan de bevoegde rechter te Amsterdam</w:t>
      </w:r>
      <w:r w:rsidR="005D67E2">
        <w:t>.</w:t>
      </w:r>
    </w:p>
    <w:p w14:paraId="0F37CB8F" w14:textId="77777777" w:rsidR="005D67E2" w:rsidRDefault="005D67E2" w:rsidP="005D67E2">
      <w:pPr>
        <w:pStyle w:val="Lijstalinea"/>
      </w:pPr>
    </w:p>
    <w:p w14:paraId="2749C08F" w14:textId="4BD9BD7F" w:rsidR="00FA5D49" w:rsidRDefault="00FA5D49" w:rsidP="00822722">
      <w:pPr>
        <w:pStyle w:val="Lijstalinea"/>
        <w:numPr>
          <w:ilvl w:val="0"/>
          <w:numId w:val="9"/>
        </w:numPr>
      </w:pPr>
      <w:r>
        <w:t xml:space="preserve">De Geschillencommissie Advocatuur is bij uitsluiting bevoegd kennis te nemen van enig geschil tussen de </w:t>
      </w:r>
      <w:r w:rsidR="00822722">
        <w:t>AKDP</w:t>
      </w:r>
      <w:r w:rsidR="001902AE">
        <w:t xml:space="preserve"> advocaat</w:t>
      </w:r>
      <w:r>
        <w:t xml:space="preserve"> en de Cliënt.</w:t>
      </w:r>
    </w:p>
    <w:p w14:paraId="7E5DF281" w14:textId="752D4AE7" w:rsidR="00477FCB" w:rsidRDefault="00477FCB" w:rsidP="00FA5D49"/>
    <w:p w14:paraId="659F6C7D" w14:textId="65CD5748" w:rsidR="00477FCB" w:rsidRDefault="00477FCB" w:rsidP="00FA5D49">
      <w:r>
        <w:t>XIII</w:t>
      </w:r>
      <w:r>
        <w:tab/>
      </w:r>
      <w:r w:rsidR="003C3CF8" w:rsidRPr="00D16755">
        <w:rPr>
          <w:b/>
          <w:bCs/>
        </w:rPr>
        <w:t>Overige bepalingen</w:t>
      </w:r>
    </w:p>
    <w:p w14:paraId="65BA4AF2" w14:textId="40C7663F" w:rsidR="003C3CF8" w:rsidRDefault="003C3CF8" w:rsidP="00153174">
      <w:pPr>
        <w:pStyle w:val="Lijstalinea"/>
        <w:numPr>
          <w:ilvl w:val="0"/>
          <w:numId w:val="10"/>
        </w:numPr>
      </w:pPr>
      <w:r>
        <w:t>Van deze voorwaarden is ook een versie in de Engelse</w:t>
      </w:r>
      <w:r w:rsidR="005D67E2">
        <w:t xml:space="preserve"> en Portugese</w:t>
      </w:r>
      <w:r>
        <w:t xml:space="preserve"> taal beschikbaar. In geval van geschil over de inhoud of strekking van de algemene voorwaarden is de Nederlandse tekst beslissend.</w:t>
      </w:r>
    </w:p>
    <w:p w14:paraId="6D4BB28D" w14:textId="77777777" w:rsidR="005D67E2" w:rsidRDefault="005D67E2" w:rsidP="005D67E2">
      <w:pPr>
        <w:pStyle w:val="Lijstalinea"/>
        <w:ind w:left="1068"/>
      </w:pPr>
    </w:p>
    <w:p w14:paraId="36DA073F" w14:textId="76733235" w:rsidR="003C3CF8" w:rsidRDefault="003C3CF8" w:rsidP="00153174">
      <w:pPr>
        <w:pStyle w:val="Lijstalinea"/>
        <w:numPr>
          <w:ilvl w:val="0"/>
          <w:numId w:val="10"/>
        </w:numPr>
      </w:pPr>
      <w:r>
        <w:t>De AKDP advocaat is gerechtigd deze algemene voorwaarden te wijzigen of aan te vullen. Een wijziging en/of aanvulling bindt de Cliënt, maar niet eerder dan</w:t>
      </w:r>
      <w:r w:rsidR="00D16755">
        <w:t xml:space="preserve"> na ommekomst van </w:t>
      </w:r>
      <w:r>
        <w:t xml:space="preserve"> twee weken nadat de Cliënt schriftelijk van de wijziging op de hoogte is gesteld.</w:t>
      </w:r>
    </w:p>
    <w:p w14:paraId="06A9B8B6" w14:textId="77777777" w:rsidR="005D67E2" w:rsidRDefault="005D67E2" w:rsidP="005D67E2">
      <w:pPr>
        <w:pStyle w:val="Lijstalinea"/>
        <w:ind w:left="1068"/>
      </w:pPr>
    </w:p>
    <w:p w14:paraId="26B21EA2" w14:textId="0CCE0ADF" w:rsidR="00B3447B" w:rsidRDefault="003C3CF8" w:rsidP="00B3447B">
      <w:pPr>
        <w:pStyle w:val="Lijstalinea"/>
        <w:numPr>
          <w:ilvl w:val="0"/>
          <w:numId w:val="10"/>
        </w:numPr>
        <w:ind w:left="705" w:hanging="705"/>
      </w:pPr>
      <w:r>
        <w:t>De algemene voorwaarden zijn door A</w:t>
      </w:r>
      <w:r w:rsidR="00BA76F8">
        <w:t>KDP</w:t>
      </w:r>
      <w:r>
        <w:t xml:space="preserve"> Advocaten ten behoeve van de A</w:t>
      </w:r>
      <w:r w:rsidR="00020004">
        <w:t>KDP</w:t>
      </w:r>
      <w:r>
        <w:t xml:space="preserve"> Advocaten Ondernemers gedeponeerd bij de Kamer van Koophandel</w:t>
      </w:r>
      <w:r w:rsidR="000E4E4D">
        <w:t xml:space="preserve"> en ze zijn te downloaden van de website www.akdp.nl.</w:t>
      </w:r>
    </w:p>
    <w:sectPr w:rsidR="00B344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14A3"/>
    <w:multiLevelType w:val="hybridMultilevel"/>
    <w:tmpl w:val="0624D1EA"/>
    <w:lvl w:ilvl="0" w:tplc="E2A0C47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8A5CB9"/>
    <w:multiLevelType w:val="hybridMultilevel"/>
    <w:tmpl w:val="FFDE80A4"/>
    <w:lvl w:ilvl="0" w:tplc="9BD4A128">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6895F2F"/>
    <w:multiLevelType w:val="hybridMultilevel"/>
    <w:tmpl w:val="E5D6E768"/>
    <w:lvl w:ilvl="0" w:tplc="98A20368">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BFA197B"/>
    <w:multiLevelType w:val="hybridMultilevel"/>
    <w:tmpl w:val="3D0664B6"/>
    <w:lvl w:ilvl="0" w:tplc="C952FFCE">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A207B42"/>
    <w:multiLevelType w:val="hybridMultilevel"/>
    <w:tmpl w:val="C6D08F82"/>
    <w:lvl w:ilvl="0" w:tplc="68503594">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B0245D0"/>
    <w:multiLevelType w:val="hybridMultilevel"/>
    <w:tmpl w:val="95DECF8C"/>
    <w:lvl w:ilvl="0" w:tplc="DB0038E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8274FEC"/>
    <w:multiLevelType w:val="hybridMultilevel"/>
    <w:tmpl w:val="EA08D40E"/>
    <w:lvl w:ilvl="0" w:tplc="CED6721E">
      <w:start w:val="1"/>
      <w:numFmt w:val="lowerLetter"/>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D356140"/>
    <w:multiLevelType w:val="hybridMultilevel"/>
    <w:tmpl w:val="7980B916"/>
    <w:lvl w:ilvl="0" w:tplc="70248F9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E252F03"/>
    <w:multiLevelType w:val="hybridMultilevel"/>
    <w:tmpl w:val="E7428068"/>
    <w:lvl w:ilvl="0" w:tplc="67BAA05E">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F3D142A"/>
    <w:multiLevelType w:val="hybridMultilevel"/>
    <w:tmpl w:val="835CE6E6"/>
    <w:lvl w:ilvl="0" w:tplc="E8D03B04">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16cid:durableId="878278314">
    <w:abstractNumId w:val="7"/>
  </w:num>
  <w:num w:numId="2" w16cid:durableId="1601907679">
    <w:abstractNumId w:val="8"/>
  </w:num>
  <w:num w:numId="3" w16cid:durableId="1130824435">
    <w:abstractNumId w:val="2"/>
  </w:num>
  <w:num w:numId="4" w16cid:durableId="259483819">
    <w:abstractNumId w:val="4"/>
  </w:num>
  <w:num w:numId="5" w16cid:durableId="985278912">
    <w:abstractNumId w:val="3"/>
  </w:num>
  <w:num w:numId="6" w16cid:durableId="58140413">
    <w:abstractNumId w:val="0"/>
  </w:num>
  <w:num w:numId="7" w16cid:durableId="284236625">
    <w:abstractNumId w:val="6"/>
  </w:num>
  <w:num w:numId="8" w16cid:durableId="780683861">
    <w:abstractNumId w:val="5"/>
  </w:num>
  <w:num w:numId="9" w16cid:durableId="1439178345">
    <w:abstractNumId w:val="1"/>
  </w:num>
  <w:num w:numId="10" w16cid:durableId="16119334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B20"/>
    <w:rsid w:val="00020004"/>
    <w:rsid w:val="00026C6B"/>
    <w:rsid w:val="000511C7"/>
    <w:rsid w:val="00083774"/>
    <w:rsid w:val="00097BB4"/>
    <w:rsid w:val="000E4E4D"/>
    <w:rsid w:val="001412D6"/>
    <w:rsid w:val="00153174"/>
    <w:rsid w:val="00176BE2"/>
    <w:rsid w:val="00180EF7"/>
    <w:rsid w:val="0018567C"/>
    <w:rsid w:val="001902AE"/>
    <w:rsid w:val="001A70F9"/>
    <w:rsid w:val="0021325E"/>
    <w:rsid w:val="00221A16"/>
    <w:rsid w:val="00240B20"/>
    <w:rsid w:val="002414B1"/>
    <w:rsid w:val="00246E1D"/>
    <w:rsid w:val="00253C64"/>
    <w:rsid w:val="00270674"/>
    <w:rsid w:val="00274D4F"/>
    <w:rsid w:val="002A1AE1"/>
    <w:rsid w:val="002C325D"/>
    <w:rsid w:val="002C7981"/>
    <w:rsid w:val="002D4800"/>
    <w:rsid w:val="002D72AE"/>
    <w:rsid w:val="003653A3"/>
    <w:rsid w:val="00376630"/>
    <w:rsid w:val="00383D05"/>
    <w:rsid w:val="00387797"/>
    <w:rsid w:val="00392D22"/>
    <w:rsid w:val="003C2C32"/>
    <w:rsid w:val="003C3CF8"/>
    <w:rsid w:val="003D00E5"/>
    <w:rsid w:val="003D2FA5"/>
    <w:rsid w:val="003E4144"/>
    <w:rsid w:val="00406EAD"/>
    <w:rsid w:val="004212D2"/>
    <w:rsid w:val="0045203E"/>
    <w:rsid w:val="00477FCB"/>
    <w:rsid w:val="004958E9"/>
    <w:rsid w:val="004F232B"/>
    <w:rsid w:val="0051719A"/>
    <w:rsid w:val="005500BA"/>
    <w:rsid w:val="00570502"/>
    <w:rsid w:val="00582B7E"/>
    <w:rsid w:val="005D0E57"/>
    <w:rsid w:val="005D67E2"/>
    <w:rsid w:val="005D7329"/>
    <w:rsid w:val="005E3C25"/>
    <w:rsid w:val="005F3A64"/>
    <w:rsid w:val="00625CD1"/>
    <w:rsid w:val="006447EA"/>
    <w:rsid w:val="006448E5"/>
    <w:rsid w:val="006557A4"/>
    <w:rsid w:val="00662399"/>
    <w:rsid w:val="006E39EC"/>
    <w:rsid w:val="0078777B"/>
    <w:rsid w:val="007979F6"/>
    <w:rsid w:val="007B026F"/>
    <w:rsid w:val="007D5ED6"/>
    <w:rsid w:val="007F0D34"/>
    <w:rsid w:val="00822722"/>
    <w:rsid w:val="00822BD1"/>
    <w:rsid w:val="00871B6C"/>
    <w:rsid w:val="0089618C"/>
    <w:rsid w:val="008C7797"/>
    <w:rsid w:val="008D5BB7"/>
    <w:rsid w:val="008F1723"/>
    <w:rsid w:val="00906185"/>
    <w:rsid w:val="00906DC7"/>
    <w:rsid w:val="00970E42"/>
    <w:rsid w:val="0097475B"/>
    <w:rsid w:val="009B7A83"/>
    <w:rsid w:val="009C2C22"/>
    <w:rsid w:val="009D0B33"/>
    <w:rsid w:val="009F63BE"/>
    <w:rsid w:val="00A65190"/>
    <w:rsid w:val="00A93520"/>
    <w:rsid w:val="00AB0E3F"/>
    <w:rsid w:val="00AB7374"/>
    <w:rsid w:val="00B01357"/>
    <w:rsid w:val="00B04F47"/>
    <w:rsid w:val="00B30EC1"/>
    <w:rsid w:val="00B3447B"/>
    <w:rsid w:val="00BA76F8"/>
    <w:rsid w:val="00BB360B"/>
    <w:rsid w:val="00C462FA"/>
    <w:rsid w:val="00C537B5"/>
    <w:rsid w:val="00C741C1"/>
    <w:rsid w:val="00C9474F"/>
    <w:rsid w:val="00CD2EAB"/>
    <w:rsid w:val="00CF0236"/>
    <w:rsid w:val="00D16755"/>
    <w:rsid w:val="00D3204C"/>
    <w:rsid w:val="00D36C22"/>
    <w:rsid w:val="00D51057"/>
    <w:rsid w:val="00DA463E"/>
    <w:rsid w:val="00DE2131"/>
    <w:rsid w:val="00E21357"/>
    <w:rsid w:val="00E971B5"/>
    <w:rsid w:val="00EB12FF"/>
    <w:rsid w:val="00EB3446"/>
    <w:rsid w:val="00EE6E5F"/>
    <w:rsid w:val="00F054F0"/>
    <w:rsid w:val="00F14922"/>
    <w:rsid w:val="00FA5D49"/>
    <w:rsid w:val="00FB47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BBAC8"/>
  <w15:chartTrackingRefBased/>
  <w15:docId w15:val="{8D149895-0E97-436B-B35A-F20686F5C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70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1766</Words>
  <Characters>9714</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Engelsma - AKDP Advocaten</dc:creator>
  <cp:keywords/>
  <dc:description/>
  <cp:lastModifiedBy>Boris den Hartog - AKDP Advocaten</cp:lastModifiedBy>
  <cp:revision>99</cp:revision>
  <dcterms:created xsi:type="dcterms:W3CDTF">2022-06-07T11:19:00Z</dcterms:created>
  <dcterms:modified xsi:type="dcterms:W3CDTF">2023-07-16T11:22:00Z</dcterms:modified>
</cp:coreProperties>
</file>